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21" w:rsidRDefault="00A033FE">
      <w:pPr>
        <w:rPr>
          <w:rFonts w:ascii="仿宋" w:eastAsia="仿宋" w:hAnsi="仿宋"/>
          <w:sz w:val="32"/>
          <w:szCs w:val="32"/>
        </w:rPr>
      </w:pPr>
      <w:bookmarkStart w:id="0" w:name="_GoBack"/>
      <w:bookmarkEnd w:id="0"/>
      <w:r>
        <w:rPr>
          <w:rFonts w:ascii="仿宋" w:eastAsia="仿宋" w:hAnsi="仿宋" w:hint="eastAsia"/>
          <w:sz w:val="32"/>
          <w:szCs w:val="32"/>
        </w:rPr>
        <w:t>附件3</w:t>
      </w:r>
    </w:p>
    <w:p w:rsidR="004C6221" w:rsidRDefault="00A033FE">
      <w:pPr>
        <w:spacing w:beforeLines="100" w:before="312" w:afterLines="100" w:after="312" w:line="560" w:lineRule="exact"/>
        <w:jc w:val="center"/>
        <w:rPr>
          <w:rFonts w:ascii="仿宋_GB2312" w:eastAsia="仿宋_GB2312" w:hAnsi="仿宋_GB2312" w:cs="仿宋_GB2312"/>
          <w:sz w:val="32"/>
          <w:szCs w:val="32"/>
        </w:rPr>
      </w:pPr>
      <w:r>
        <w:rPr>
          <w:rFonts w:ascii="宋体" w:hAnsi="宋体"/>
          <w:b/>
          <w:bCs/>
          <w:spacing w:val="-20"/>
          <w:sz w:val="36"/>
          <w:szCs w:val="36"/>
        </w:rPr>
        <w:t>从事城市生活垃圾（含粪便）经营性清扫、收集、运输</w:t>
      </w:r>
      <w:r>
        <w:rPr>
          <w:rFonts w:ascii="宋体" w:hAnsi="宋体" w:hint="eastAsia"/>
          <w:b/>
          <w:bCs/>
          <w:spacing w:val="-20"/>
          <w:sz w:val="36"/>
          <w:szCs w:val="36"/>
        </w:rPr>
        <w:t>服务</w:t>
      </w:r>
      <w:r>
        <w:rPr>
          <w:rFonts w:ascii="宋体" w:hAnsi="宋体"/>
          <w:b/>
          <w:bCs/>
          <w:spacing w:val="-20"/>
          <w:sz w:val="36"/>
          <w:szCs w:val="36"/>
        </w:rPr>
        <w:t>事项监管方案</w:t>
      </w:r>
    </w:p>
    <w:p w:rsidR="004C6221" w:rsidRDefault="00A033FE">
      <w:pPr>
        <w:spacing w:before="0" w:beforeAutospacing="0" w:after="0" w:afterAutospacing="0" w:line="600" w:lineRule="exact"/>
        <w:ind w:firstLine="640"/>
        <w:rPr>
          <w:rFonts w:ascii="仿宋" w:eastAsia="仿宋" w:hAnsi="仿宋" w:cs="仿宋"/>
          <w:sz w:val="32"/>
          <w:szCs w:val="32"/>
        </w:rPr>
      </w:pPr>
      <w:r>
        <w:rPr>
          <w:rFonts w:ascii="仿宋" w:eastAsia="仿宋" w:hAnsi="仿宋" w:cs="仿宋" w:hint="eastAsia"/>
          <w:sz w:val="32"/>
          <w:szCs w:val="32"/>
        </w:rPr>
        <w:t>根据《国务院关于深化“证照分离”改革进一步激发市场主体发展活力的通知》（国发〔2021〕7号）及《浙江省深化“证照分离”改革进一步激发市场主体发展活力实施方案》（浙政发〔2021〕24号）和《舟山市深化“证照分离”改革实施方案》（舟政发〔2021〕16号）要求，为做好从事生活垃圾（含粪便）经营性清扫、收集、运输服务许可事项取消后的行业监管，结合工作实际，制定本方案。</w:t>
      </w:r>
    </w:p>
    <w:p w:rsidR="004C6221" w:rsidRDefault="00A033FE">
      <w:pPr>
        <w:numPr>
          <w:ilvl w:val="0"/>
          <w:numId w:val="3"/>
        </w:numPr>
        <w:spacing w:before="0" w:beforeAutospacing="0" w:after="0" w:afterAutospacing="0" w:line="600" w:lineRule="exact"/>
        <w:ind w:firstLine="640"/>
        <w:rPr>
          <w:rFonts w:ascii="黑体" w:eastAsia="黑体" w:hAnsi="黑体" w:cs="黑体"/>
          <w:bCs/>
          <w:sz w:val="32"/>
          <w:szCs w:val="32"/>
        </w:rPr>
      </w:pPr>
      <w:r>
        <w:rPr>
          <w:rFonts w:ascii="黑体" w:eastAsia="黑体" w:hAnsi="黑体" w:cs="黑体" w:hint="eastAsia"/>
          <w:bCs/>
          <w:sz w:val="32"/>
          <w:szCs w:val="32"/>
        </w:rPr>
        <w:t>事项类别</w:t>
      </w:r>
    </w:p>
    <w:p w:rsidR="004C6221" w:rsidRDefault="00A033FE">
      <w:pPr>
        <w:spacing w:before="0" w:beforeAutospacing="0" w:after="0" w:afterAutospacing="0"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从事城市生活垃圾（含粪便）经营性清扫、收集、运输服务许可</w:t>
      </w:r>
      <w:r>
        <w:rPr>
          <w:rFonts w:ascii="仿宋" w:eastAsia="仿宋" w:hAnsi="仿宋" w:cs="仿宋" w:hint="eastAsia"/>
          <w:sz w:val="32"/>
          <w:szCs w:val="32"/>
        </w:rPr>
        <w:t>事项取消后的</w:t>
      </w:r>
      <w:r>
        <w:rPr>
          <w:rFonts w:ascii="仿宋" w:eastAsia="仿宋" w:hAnsi="仿宋" w:cs="仿宋" w:hint="eastAsia"/>
          <w:kern w:val="0"/>
          <w:sz w:val="32"/>
          <w:szCs w:val="32"/>
        </w:rPr>
        <w:t>事中事后监管。</w:t>
      </w:r>
    </w:p>
    <w:p w:rsidR="004C6221" w:rsidRDefault="00A033FE">
      <w:pPr>
        <w:spacing w:before="0" w:beforeAutospacing="0" w:after="0" w:afterAutospacing="0"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二、监管检查对象</w:t>
      </w:r>
    </w:p>
    <w:p w:rsidR="004C6221" w:rsidRDefault="00A033FE">
      <w:pPr>
        <w:spacing w:before="0" w:beforeAutospacing="0" w:after="0" w:afterAutospacing="0"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从事城市生活垃圾（含粪便）经营性清扫、收集、运输服务的企业。</w:t>
      </w:r>
    </w:p>
    <w:p w:rsidR="004C6221" w:rsidRDefault="00A033FE">
      <w:pPr>
        <w:spacing w:before="0" w:beforeAutospacing="0" w:after="0" w:afterAutospacing="0"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三、监督检查内容</w:t>
      </w:r>
    </w:p>
    <w:p w:rsidR="004C6221" w:rsidRDefault="00A033FE">
      <w:pPr>
        <w:widowControl/>
        <w:shd w:val="clear" w:color="auto" w:fill="FFFFFF"/>
        <w:spacing w:before="0" w:beforeAutospacing="0" w:after="0" w:afterAutospacing="0" w:line="600" w:lineRule="exact"/>
        <w:ind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依据</w:t>
      </w:r>
      <w:r>
        <w:rPr>
          <w:rFonts w:ascii="仿宋" w:eastAsia="仿宋" w:hAnsi="仿宋" w:cs="仿宋" w:hint="eastAsia"/>
          <w:sz w:val="32"/>
          <w:szCs w:val="32"/>
        </w:rPr>
        <w:t>《中华人民共和国固体废物污染环境防治法》《城市市容和环境卫生管理条例》《浙江省固体废物污染环境防治条例》《浙江省城市市容和环境卫生管理条例》《浙江省生活垃圾管理条例》《城市生活垃圾管理办法》《</w:t>
      </w:r>
      <w:r>
        <w:rPr>
          <w:rFonts w:ascii="仿宋" w:eastAsia="仿宋" w:hAnsi="仿宋" w:cs="仿宋" w:hint="eastAsia"/>
          <w:kern w:val="0"/>
          <w:sz w:val="32"/>
          <w:szCs w:val="32"/>
        </w:rPr>
        <w:t>市区生活垃圾收集模式一体化指导意见</w:t>
      </w:r>
      <w:r>
        <w:rPr>
          <w:rFonts w:ascii="仿宋" w:eastAsia="仿宋" w:hAnsi="仿宋" w:cs="仿宋" w:hint="eastAsia"/>
          <w:sz w:val="32"/>
          <w:szCs w:val="32"/>
        </w:rPr>
        <w:t>》</w:t>
      </w:r>
      <w:r>
        <w:rPr>
          <w:rFonts w:ascii="仿宋" w:eastAsia="仿宋" w:hAnsi="仿宋" w:cs="仿宋" w:hint="eastAsia"/>
          <w:kern w:val="0"/>
          <w:sz w:val="32"/>
          <w:szCs w:val="32"/>
        </w:rPr>
        <w:t>等规定，对从事城市生活垃圾（含</w:t>
      </w:r>
      <w:r>
        <w:rPr>
          <w:rFonts w:ascii="仿宋" w:eastAsia="仿宋" w:hAnsi="仿宋" w:cs="仿宋" w:hint="eastAsia"/>
          <w:kern w:val="0"/>
          <w:sz w:val="32"/>
          <w:szCs w:val="32"/>
        </w:rPr>
        <w:lastRenderedPageBreak/>
        <w:t>粪便）经营性清扫、收集、运输服务的企业履行法定义务和服务标准的情况进行监管。</w:t>
      </w:r>
    </w:p>
    <w:p w:rsidR="004C6221" w:rsidRDefault="00A033FE">
      <w:pPr>
        <w:spacing w:beforeAutospacing="0" w:afterAutospacing="0" w:line="600" w:lineRule="exact"/>
        <w:ind w:firstLine="640"/>
        <w:rPr>
          <w:rFonts w:ascii="仿宋" w:eastAsia="仿宋" w:hAnsi="仿宋" w:cs="仿宋"/>
          <w:sz w:val="32"/>
          <w:szCs w:val="32"/>
        </w:rPr>
      </w:pPr>
      <w:r>
        <w:rPr>
          <w:rFonts w:ascii="楷体_GB2312" w:eastAsia="楷体_GB2312" w:hAnsi="仿宋_GB2312" w:cs="仿宋_GB2312" w:hint="eastAsia"/>
          <w:b/>
          <w:bCs/>
          <w:sz w:val="32"/>
          <w:szCs w:val="32"/>
        </w:rPr>
        <w:t>（一）明确监管部门职责边界。</w:t>
      </w:r>
      <w:r>
        <w:rPr>
          <w:rFonts w:ascii="仿宋" w:eastAsia="仿宋" w:hAnsi="仿宋" w:cs="仿宋" w:hint="eastAsia"/>
          <w:sz w:val="32"/>
          <w:szCs w:val="32"/>
        </w:rPr>
        <w:t>按照“谁主管、谁监管”的原则，市容环境卫生主管部门（城市管理部门，以下同）依法对</w:t>
      </w:r>
      <w:bookmarkStart w:id="1" w:name="_Hlk85576531"/>
      <w:r>
        <w:rPr>
          <w:rFonts w:ascii="仿宋" w:eastAsia="仿宋" w:hAnsi="仿宋" w:cs="仿宋" w:hint="eastAsia"/>
          <w:sz w:val="32"/>
          <w:szCs w:val="32"/>
        </w:rPr>
        <w:t>从事生活垃圾（含粪便）经营性清扫、收集、运输服务的生产经营主体</w:t>
      </w:r>
      <w:bookmarkEnd w:id="1"/>
      <w:r>
        <w:rPr>
          <w:rFonts w:ascii="仿宋" w:eastAsia="仿宋" w:hAnsi="仿宋" w:cs="仿宋" w:hint="eastAsia"/>
          <w:sz w:val="32"/>
          <w:szCs w:val="32"/>
        </w:rPr>
        <w:t>进行事中事后的日常监管。明确监管层级部门为各县（区）、功能区市容环境卫生主管部门。</w:t>
      </w:r>
    </w:p>
    <w:p w:rsidR="004C6221" w:rsidRDefault="00A033FE">
      <w:pPr>
        <w:spacing w:beforeAutospacing="0" w:afterAutospacing="0" w:line="600" w:lineRule="exact"/>
        <w:ind w:firstLine="640"/>
        <w:rPr>
          <w:rFonts w:ascii="仿宋" w:eastAsia="仿宋" w:hAnsi="仿宋" w:cs="仿宋"/>
          <w:sz w:val="32"/>
          <w:szCs w:val="32"/>
        </w:rPr>
      </w:pPr>
      <w:r>
        <w:rPr>
          <w:rFonts w:ascii="楷体_GB2312" w:eastAsia="楷体_GB2312" w:hAnsi="仿宋_GB2312" w:cs="仿宋_GB2312" w:hint="eastAsia"/>
          <w:b/>
          <w:bCs/>
          <w:sz w:val="32"/>
          <w:szCs w:val="32"/>
        </w:rPr>
        <w:t>（二）规范生活垃圾分类收运模式。</w:t>
      </w:r>
      <w:r>
        <w:rPr>
          <w:rFonts w:ascii="仿宋" w:eastAsia="仿宋" w:hAnsi="仿宋" w:cs="仿宋" w:hint="eastAsia"/>
          <w:sz w:val="32"/>
          <w:szCs w:val="32"/>
        </w:rPr>
        <w:t>统一生活垃圾收集、运输模式，根据《市区生活垃圾收集模式一体化指导意见》（舟城管〔2021〕33号）要求，按照“统一标准、优化模式、分类收集、分类运输”的原则，实行车辆涂装统一、分类标志统一、收集标准统一、监督管理统一。逐步淘汰人力收集模式，取缔未在市场监管部门登记注册的个体收集者。按照生活垃圾类别，分别配置相应的密闭化收集车辆，严格落实“桶车配对”分类收集，严禁将分类投放的生活垃圾混合收集运输。生活垃圾收集单位应与产生单位签订收运协议，收集单位应配备专门的停车区域，严禁在非作业时间段占用公共停车位。</w:t>
      </w:r>
    </w:p>
    <w:p w:rsidR="004C6221" w:rsidRDefault="00A033FE">
      <w:pPr>
        <w:spacing w:beforeAutospacing="0" w:afterAutospacing="0" w:line="600" w:lineRule="exact"/>
        <w:ind w:firstLine="640"/>
        <w:rPr>
          <w:rFonts w:ascii="仿宋" w:eastAsia="仿宋" w:hAnsi="仿宋" w:cs="仿宋"/>
          <w:b/>
          <w:bCs/>
          <w:sz w:val="32"/>
          <w:szCs w:val="32"/>
        </w:rPr>
      </w:pPr>
      <w:r>
        <w:rPr>
          <w:rFonts w:ascii="楷体_GB2312" w:eastAsia="楷体_GB2312" w:hAnsi="楷体_GB2312" w:cs="楷体_GB2312" w:hint="eastAsia"/>
          <w:b/>
          <w:bCs/>
          <w:sz w:val="32"/>
          <w:szCs w:val="32"/>
        </w:rPr>
        <w:t>（三）</w:t>
      </w:r>
      <w:r>
        <w:rPr>
          <w:rFonts w:ascii="楷体_GB2312" w:eastAsia="楷体_GB2312" w:hAnsi="仿宋_GB2312" w:cs="仿宋_GB2312" w:hint="eastAsia"/>
          <w:b/>
          <w:bCs/>
          <w:sz w:val="32"/>
          <w:szCs w:val="32"/>
        </w:rPr>
        <w:t>落实“双随机、一公开”制度。</w:t>
      </w:r>
      <w:r>
        <w:rPr>
          <w:rFonts w:ascii="仿宋" w:eastAsia="仿宋" w:hAnsi="仿宋" w:cs="仿宋" w:hint="eastAsia"/>
          <w:sz w:val="32"/>
          <w:szCs w:val="32"/>
        </w:rPr>
        <w:t>将从事生活垃圾（含粪便）经营性清扫、收集、运输服务的生产经营主体纳入“双随机、一公开”监管事项清单，进行动态管</w:t>
      </w:r>
      <w:r>
        <w:rPr>
          <w:rFonts w:ascii="仿宋" w:eastAsia="仿宋" w:hAnsi="仿宋" w:cs="仿宋" w:hint="eastAsia"/>
          <w:sz w:val="32"/>
          <w:szCs w:val="32"/>
        </w:rPr>
        <w:lastRenderedPageBreak/>
        <w:t>理，提升监管效能。制定年度监管计划，合理确定抽查的比例和频次，做到随机抽查全程留痕、责任可追溯，杜绝检查的任意性。对投诉举报多的企业实施重点监管，在保证必要的抽查覆盖面和监管力度的基础上，防止检查过多和执法扰民。</w:t>
      </w:r>
    </w:p>
    <w:p w:rsidR="004C6221" w:rsidRDefault="00A033FE">
      <w:pPr>
        <w:widowControl/>
        <w:shd w:val="clear" w:color="auto" w:fill="FFFFFF"/>
        <w:spacing w:before="0" w:beforeAutospacing="0" w:after="0" w:afterAutospacing="0" w:line="600" w:lineRule="exact"/>
        <w:ind w:firstLineChars="200" w:firstLine="643"/>
        <w:jc w:val="both"/>
        <w:rPr>
          <w:rFonts w:ascii="仿宋" w:eastAsia="仿宋" w:hAnsi="仿宋" w:cs="仿宋"/>
          <w:kern w:val="0"/>
          <w:sz w:val="32"/>
          <w:szCs w:val="32"/>
        </w:rPr>
      </w:pPr>
      <w:r>
        <w:rPr>
          <w:rFonts w:ascii="楷体_GB2312" w:eastAsia="楷体_GB2312" w:hAnsi="仿宋_GB2312" w:cs="仿宋_GB2312" w:hint="eastAsia"/>
          <w:b/>
          <w:bCs/>
          <w:sz w:val="32"/>
          <w:szCs w:val="32"/>
        </w:rPr>
        <w:t>（四）</w:t>
      </w:r>
      <w:r>
        <w:rPr>
          <w:rFonts w:ascii="楷体_GB2312" w:eastAsia="楷体_GB2312" w:hAnsi="楷体_GB2312" w:cs="楷体_GB2312" w:hint="eastAsia"/>
          <w:b/>
          <w:bCs/>
          <w:sz w:val="32"/>
          <w:szCs w:val="32"/>
        </w:rPr>
        <w:t>强化行业自律落实信用监管。</w:t>
      </w:r>
      <w:r>
        <w:rPr>
          <w:rFonts w:ascii="仿宋" w:eastAsia="仿宋" w:hAnsi="仿宋" w:cs="仿宋" w:hint="eastAsia"/>
          <w:sz w:val="32"/>
          <w:szCs w:val="32"/>
        </w:rPr>
        <w:t>对企业违规情况纳入信用记录并通过国家企业信用信息公示系统公示。</w:t>
      </w:r>
      <w:r>
        <w:rPr>
          <w:rFonts w:ascii="仿宋" w:eastAsia="仿宋" w:hAnsi="仿宋" w:cs="仿宋" w:hint="eastAsia"/>
          <w:kern w:val="0"/>
          <w:sz w:val="32"/>
          <w:szCs w:val="32"/>
        </w:rPr>
        <w:t xml:space="preserve">符合下列情形之一，应当纳入失信黑名单，依照《舟山市综合行政执法领域失信黑名单管理办法（试行）》处理： </w:t>
      </w:r>
    </w:p>
    <w:p w:rsidR="004C6221" w:rsidRDefault="00A033FE">
      <w:pPr>
        <w:widowControl/>
        <w:shd w:val="clear" w:color="auto" w:fill="FFFFFF"/>
        <w:spacing w:before="0" w:beforeAutospacing="0" w:after="0" w:afterAutospacing="0" w:line="600" w:lineRule="exact"/>
        <w:ind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 xml:space="preserve">1.受到行政处罚且被认定为情节严重的； </w:t>
      </w:r>
    </w:p>
    <w:p w:rsidR="004C6221" w:rsidRDefault="00A033FE">
      <w:pPr>
        <w:widowControl/>
        <w:shd w:val="clear" w:color="auto" w:fill="FFFFFF"/>
        <w:spacing w:before="0" w:beforeAutospacing="0" w:after="0" w:afterAutospacing="0" w:line="600" w:lineRule="exact"/>
        <w:ind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 xml:space="preserve">2.拒不履行行政处罚决定、行政强制执行决定的； </w:t>
      </w:r>
    </w:p>
    <w:p w:rsidR="004C6221" w:rsidRDefault="00A033FE">
      <w:pPr>
        <w:widowControl/>
        <w:shd w:val="clear" w:color="auto" w:fill="FFFFFF"/>
        <w:spacing w:before="0" w:beforeAutospacing="0" w:after="0" w:afterAutospacing="0" w:line="600" w:lineRule="exact"/>
        <w:ind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 xml:space="preserve">3.十二个月内因相同违法行为受到三次以上（含三次）行政处罚的； </w:t>
      </w:r>
    </w:p>
    <w:p w:rsidR="004C6221" w:rsidRDefault="00A033FE">
      <w:pPr>
        <w:widowControl/>
        <w:shd w:val="clear" w:color="auto" w:fill="FFFFFF"/>
        <w:spacing w:before="0" w:beforeAutospacing="0" w:after="0" w:afterAutospacing="0" w:line="600" w:lineRule="exact"/>
        <w:ind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 xml:space="preserve">4.以暴力、威胁等方式拒绝、阻挠执法人员依法实施现场监督检查，或者拒不配合违法行为查处的； </w:t>
      </w:r>
    </w:p>
    <w:p w:rsidR="004C6221" w:rsidRDefault="00A033FE">
      <w:pPr>
        <w:widowControl/>
        <w:shd w:val="clear" w:color="auto" w:fill="FFFFFF"/>
        <w:spacing w:before="0" w:beforeAutospacing="0" w:after="0" w:afterAutospacing="0" w:line="600" w:lineRule="exact"/>
        <w:ind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5.法律、法规、规章或上级文件规定应当纳入失信黑名单的情形。</w:t>
      </w:r>
    </w:p>
    <w:p w:rsidR="004C6221" w:rsidRDefault="00A033FE">
      <w:pPr>
        <w:spacing w:beforeAutospacing="0" w:afterAutospacing="0" w:line="600" w:lineRule="exact"/>
        <w:ind w:firstLine="640"/>
        <w:rPr>
          <w:rFonts w:ascii="楷体_GB2312" w:eastAsia="楷体_GB2312" w:hAnsi="仿宋_GB2312" w:cs="仿宋_GB2312"/>
          <w:b/>
          <w:bCs/>
          <w:sz w:val="32"/>
          <w:szCs w:val="32"/>
        </w:rPr>
      </w:pPr>
      <w:r>
        <w:rPr>
          <w:rFonts w:ascii="仿宋" w:eastAsia="仿宋" w:hAnsi="仿宋" w:cs="仿宋" w:hint="eastAsia"/>
          <w:sz w:val="32"/>
          <w:szCs w:val="32"/>
        </w:rPr>
        <w:t>要综合运用提醒、约谈、告诫等方式，通过发放告知书、组织专题培训等方式，强化对生产经营主体的事中事后监管，提升信用监管水平。鼓励生产经营主体加入环卫行业协会，加强行业自律，信守承诺，公平竞争，坚决抵制非法生产经营行为，维护良好的市场秩序。</w:t>
      </w:r>
    </w:p>
    <w:p w:rsidR="004C6221" w:rsidRDefault="00A033FE">
      <w:pPr>
        <w:spacing w:beforeAutospacing="0" w:afterAutospacing="0" w:line="600" w:lineRule="exact"/>
        <w:ind w:firstLine="640"/>
        <w:rPr>
          <w:rFonts w:ascii="仿宋" w:eastAsia="仿宋" w:hAnsi="仿宋" w:cs="仿宋"/>
          <w:sz w:val="32"/>
          <w:szCs w:val="32"/>
        </w:rPr>
      </w:pPr>
      <w:r>
        <w:rPr>
          <w:rFonts w:ascii="楷体_GB2312" w:eastAsia="楷体_GB2312" w:hAnsi="仿宋_GB2312" w:cs="仿宋_GB2312" w:hint="eastAsia"/>
          <w:b/>
          <w:bCs/>
          <w:sz w:val="32"/>
          <w:szCs w:val="32"/>
        </w:rPr>
        <w:lastRenderedPageBreak/>
        <w:t>（五）健全公众参与监督的激励机制。</w:t>
      </w:r>
      <w:r>
        <w:rPr>
          <w:rFonts w:ascii="仿宋" w:eastAsia="仿宋" w:hAnsi="仿宋" w:cs="仿宋" w:hint="eastAsia"/>
          <w:sz w:val="32"/>
          <w:szCs w:val="32"/>
        </w:rPr>
        <w:t>拓宽公众参与社会监督的渠道和方式，依托智慧城管、12345</w:t>
      </w:r>
      <w:r>
        <w:rPr>
          <w:rFonts w:ascii="仿宋" w:eastAsia="仿宋" w:hAnsi="仿宋" w:cs="仿宋" w:hint="eastAsia"/>
          <w:sz w:val="32"/>
          <w:szCs w:val="32"/>
          <w:lang w:val="en"/>
        </w:rPr>
        <w:t>政务服务便民热线</w:t>
      </w:r>
      <w:r>
        <w:rPr>
          <w:rFonts w:ascii="仿宋" w:eastAsia="仿宋" w:hAnsi="仿宋" w:cs="仿宋" w:hint="eastAsia"/>
          <w:sz w:val="32"/>
          <w:szCs w:val="32"/>
        </w:rPr>
        <w:t>，鼓励市民通过互联网、举报电话、投诉信箱等反映</w:t>
      </w:r>
      <w:bookmarkStart w:id="2" w:name="_Hlk85650222"/>
      <w:r>
        <w:rPr>
          <w:rFonts w:ascii="仿宋" w:eastAsia="仿宋" w:hAnsi="仿宋" w:cs="仿宋" w:hint="eastAsia"/>
          <w:sz w:val="32"/>
          <w:szCs w:val="32"/>
        </w:rPr>
        <w:t>生产经营主体</w:t>
      </w:r>
      <w:bookmarkEnd w:id="2"/>
      <w:r>
        <w:rPr>
          <w:rFonts w:ascii="仿宋" w:eastAsia="仿宋" w:hAnsi="仿宋" w:cs="仿宋" w:hint="eastAsia"/>
          <w:sz w:val="32"/>
          <w:szCs w:val="32"/>
        </w:rPr>
        <w:t>在从事生活垃圾（含粪便）经营性清扫、收集、运输服务中将生活垃圾混装混运、收运车辆滴漏抛撒、噪音扰民、违法经营等方面的问题，引导社会力量广泛参与对生产经营主体的监督。各地市容环境卫生主管部门要依法及时处理投诉举报，将调查处理结果及时向投诉人反馈，同时要建立监管舆情的收集、研判、处置和回应机制，曝光典型案件。</w:t>
      </w:r>
    </w:p>
    <w:p w:rsidR="004C6221" w:rsidRDefault="00A033FE">
      <w:pPr>
        <w:widowControl/>
        <w:shd w:val="clear" w:color="auto" w:fill="FFFFFF"/>
        <w:spacing w:before="0" w:beforeAutospacing="0" w:after="0" w:afterAutospacing="0" w:line="60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 xml:space="preserve">四、监督检查程序 </w:t>
      </w:r>
    </w:p>
    <w:p w:rsidR="004C6221" w:rsidRDefault="00A033FE">
      <w:pPr>
        <w:widowControl/>
        <w:shd w:val="clear" w:color="auto" w:fill="FFFFFF"/>
        <w:spacing w:before="0" w:beforeAutospacing="0" w:after="0" w:afterAutospacing="0" w:line="600" w:lineRule="exact"/>
        <w:ind w:firstLineChars="200" w:firstLine="643"/>
        <w:jc w:val="both"/>
        <w:rPr>
          <w:rFonts w:ascii="仿宋" w:eastAsia="仿宋" w:hAnsi="仿宋" w:cs="仿宋"/>
          <w:kern w:val="0"/>
          <w:sz w:val="32"/>
          <w:szCs w:val="32"/>
        </w:rPr>
      </w:pPr>
      <w:r>
        <w:rPr>
          <w:rFonts w:ascii="楷体" w:eastAsia="楷体" w:hAnsi="楷体" w:cs="楷体" w:hint="eastAsia"/>
          <w:b/>
          <w:bCs/>
          <w:kern w:val="0"/>
          <w:sz w:val="32"/>
          <w:szCs w:val="32"/>
        </w:rPr>
        <w:t>（一）制定检查计划。</w:t>
      </w:r>
      <w:r>
        <w:rPr>
          <w:rFonts w:ascii="仿宋" w:eastAsia="仿宋" w:hAnsi="仿宋" w:cs="仿宋" w:hint="eastAsia"/>
          <w:kern w:val="0"/>
          <w:sz w:val="32"/>
          <w:szCs w:val="32"/>
        </w:rPr>
        <w:t>确定检查范围、检查内容、检查安排、检查工作要求。</w:t>
      </w:r>
    </w:p>
    <w:p w:rsidR="004C6221" w:rsidRDefault="00A033FE">
      <w:pPr>
        <w:widowControl/>
        <w:shd w:val="clear" w:color="auto" w:fill="FFFFFF"/>
        <w:spacing w:before="0" w:beforeAutospacing="0" w:after="0" w:afterAutospacing="0" w:line="600" w:lineRule="exact"/>
        <w:ind w:firstLineChars="200" w:firstLine="643"/>
        <w:jc w:val="both"/>
        <w:rPr>
          <w:rFonts w:ascii="仿宋_GB2312" w:eastAsia="仿宋_GB2312" w:hAnsi="黑体" w:cs="宋体"/>
          <w:kern w:val="0"/>
          <w:sz w:val="32"/>
          <w:szCs w:val="32"/>
        </w:rPr>
      </w:pPr>
      <w:r>
        <w:rPr>
          <w:rFonts w:ascii="楷体" w:eastAsia="楷体" w:hAnsi="楷体" w:cs="楷体" w:hint="eastAsia"/>
          <w:b/>
          <w:bCs/>
          <w:kern w:val="0"/>
          <w:sz w:val="32"/>
          <w:szCs w:val="32"/>
        </w:rPr>
        <w:t>（二）实施检查。</w:t>
      </w:r>
      <w:r>
        <w:rPr>
          <w:rFonts w:ascii="仿宋" w:eastAsia="仿宋" w:hAnsi="仿宋" w:cs="仿宋" w:hint="eastAsia"/>
          <w:kern w:val="0"/>
          <w:sz w:val="32"/>
          <w:szCs w:val="32"/>
        </w:rPr>
        <w:t>按照随机抽查方式组织有关人员采取查阅资料、核查现场等方式，实施监督检查。</w:t>
      </w:r>
    </w:p>
    <w:p w:rsidR="004C6221" w:rsidRDefault="00A033FE">
      <w:pPr>
        <w:widowControl/>
        <w:shd w:val="clear" w:color="auto" w:fill="FFFFFF"/>
        <w:spacing w:before="0" w:beforeAutospacing="0" w:after="0" w:afterAutospacing="0" w:line="600" w:lineRule="exact"/>
        <w:ind w:firstLineChars="200" w:firstLine="643"/>
        <w:jc w:val="both"/>
        <w:rPr>
          <w:rFonts w:ascii="仿宋" w:eastAsia="仿宋" w:hAnsi="仿宋" w:cs="仿宋"/>
          <w:kern w:val="0"/>
          <w:sz w:val="32"/>
          <w:szCs w:val="32"/>
        </w:rPr>
      </w:pPr>
      <w:r>
        <w:rPr>
          <w:rFonts w:ascii="楷体" w:eastAsia="楷体" w:hAnsi="楷体" w:cs="楷体" w:hint="eastAsia"/>
          <w:b/>
          <w:bCs/>
          <w:kern w:val="0"/>
          <w:sz w:val="32"/>
          <w:szCs w:val="32"/>
        </w:rPr>
        <w:t>（三）通报检查结果。</w:t>
      </w:r>
      <w:r>
        <w:rPr>
          <w:rFonts w:ascii="仿宋" w:eastAsia="仿宋" w:hAnsi="仿宋" w:cs="仿宋" w:hint="eastAsia"/>
          <w:kern w:val="0"/>
          <w:sz w:val="32"/>
          <w:szCs w:val="32"/>
        </w:rPr>
        <w:t>根据检查的基本情况进行通报，对存在问题提出整改要求。</w:t>
      </w:r>
    </w:p>
    <w:p w:rsidR="004C6221" w:rsidRDefault="00A033FE">
      <w:pPr>
        <w:widowControl/>
        <w:shd w:val="clear" w:color="auto" w:fill="FFFFFF"/>
        <w:spacing w:before="0" w:beforeAutospacing="0" w:after="0" w:afterAutospacing="0" w:line="600" w:lineRule="exact"/>
        <w:ind w:firstLineChars="200" w:firstLine="643"/>
        <w:jc w:val="both"/>
        <w:rPr>
          <w:rFonts w:ascii="仿宋" w:eastAsia="仿宋" w:hAnsi="仿宋" w:cs="仿宋"/>
          <w:kern w:val="0"/>
          <w:sz w:val="32"/>
          <w:szCs w:val="32"/>
        </w:rPr>
      </w:pPr>
      <w:r>
        <w:rPr>
          <w:rFonts w:ascii="楷体" w:eastAsia="楷体" w:hAnsi="楷体" w:cs="楷体" w:hint="eastAsia"/>
          <w:b/>
          <w:bCs/>
          <w:kern w:val="0"/>
          <w:sz w:val="32"/>
          <w:szCs w:val="32"/>
        </w:rPr>
        <w:t>（四）整改后处理。</w:t>
      </w:r>
      <w:r>
        <w:rPr>
          <w:rFonts w:ascii="仿宋" w:eastAsia="仿宋" w:hAnsi="仿宋" w:cs="仿宋" w:hint="eastAsia"/>
          <w:sz w:val="32"/>
          <w:szCs w:val="32"/>
        </w:rPr>
        <w:t>市容环境卫生主管部门</w:t>
      </w:r>
      <w:r>
        <w:rPr>
          <w:rFonts w:ascii="仿宋" w:eastAsia="仿宋" w:hAnsi="仿宋" w:cs="仿宋" w:hint="eastAsia"/>
          <w:kern w:val="0"/>
          <w:sz w:val="32"/>
          <w:szCs w:val="32"/>
        </w:rPr>
        <w:t>部门根据企业违法情形及整改情况作出处理决定。</w:t>
      </w:r>
    </w:p>
    <w:p w:rsidR="004C6221" w:rsidRDefault="00A033FE">
      <w:pPr>
        <w:spacing w:before="0" w:beforeAutospacing="0" w:after="0" w:afterAutospacing="0"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五、投诉举报电话</w:t>
      </w:r>
    </w:p>
    <w:p w:rsidR="004C6221" w:rsidRDefault="00A033FE">
      <w:pPr>
        <w:widowControl/>
        <w:shd w:val="clear" w:color="auto" w:fill="FFFFFF"/>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kern w:val="0"/>
          <w:sz w:val="32"/>
          <w:szCs w:val="32"/>
        </w:rPr>
        <w:t>0580-12345</w:t>
      </w:r>
    </w:p>
    <w:p w:rsidR="004C6221" w:rsidRDefault="004C6221">
      <w:pPr>
        <w:pStyle w:val="Default"/>
        <w:spacing w:line="600" w:lineRule="exact"/>
        <w:ind w:firstLineChars="1500" w:firstLine="4500"/>
        <w:jc w:val="both"/>
        <w:rPr>
          <w:rFonts w:ascii="Calibri" w:eastAsia="宋体" w:hAnsi="Calibri" w:cs="Times New Roman"/>
          <w:color w:val="C00000"/>
          <w:kern w:val="2"/>
          <w:sz w:val="30"/>
          <w:szCs w:val="30"/>
        </w:rPr>
      </w:pPr>
    </w:p>
    <w:sectPr w:rsidR="004C62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47" w:rsidRDefault="00794547">
      <w:pPr>
        <w:spacing w:before="0" w:after="0"/>
      </w:pPr>
      <w:r>
        <w:separator/>
      </w:r>
    </w:p>
  </w:endnote>
  <w:endnote w:type="continuationSeparator" w:id="0">
    <w:p w:rsidR="00794547" w:rsidRDefault="007945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3....">
    <w:altName w:val="仿宋"/>
    <w:charset w:val="86"/>
    <w:family w:val="roman"/>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47" w:rsidRDefault="00794547">
      <w:pPr>
        <w:spacing w:before="0" w:after="0"/>
      </w:pPr>
      <w:r>
        <w:separator/>
      </w:r>
    </w:p>
  </w:footnote>
  <w:footnote w:type="continuationSeparator" w:id="0">
    <w:p w:rsidR="00794547" w:rsidRDefault="0079454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7D67"/>
    <w:multiLevelType w:val="singleLevel"/>
    <w:tmpl w:val="062D7D67"/>
    <w:lvl w:ilvl="0">
      <w:start w:val="1"/>
      <w:numFmt w:val="chineseCounting"/>
      <w:suff w:val="nothing"/>
      <w:lvlText w:val="%1、"/>
      <w:lvlJc w:val="left"/>
      <w:rPr>
        <w:rFonts w:hint="eastAsia"/>
      </w:rPr>
    </w:lvl>
  </w:abstractNum>
  <w:abstractNum w:abstractNumId="1" w15:restartNumberingAfterBreak="0">
    <w:nsid w:val="22EF71EA"/>
    <w:multiLevelType w:val="multilevel"/>
    <w:tmpl w:val="22EF71EA"/>
    <w:lvl w:ilvl="0">
      <w:start w:val="2"/>
      <w:numFmt w:val="chineseCounting"/>
      <w:suff w:val="nothing"/>
      <w:lvlText w:val="%1、"/>
      <w:lvlJc w:val="left"/>
      <w:pPr>
        <w:ind w:left="64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6F40D980"/>
    <w:multiLevelType w:val="singleLevel"/>
    <w:tmpl w:val="6F40D980"/>
    <w:lvl w:ilvl="0">
      <w:start w:val="1"/>
      <w:numFmt w:val="chineseCounting"/>
      <w:suff w:val="space"/>
      <w:lvlText w:val="第%1条"/>
      <w:lvlJc w:val="left"/>
      <w:rPr>
        <w:rFonts w:hint="eastAsia"/>
        <w:b/>
        <w:bCs/>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AFBBB2F6"/>
    <w:rsid w:val="00083BBA"/>
    <w:rsid w:val="00172A27"/>
    <w:rsid w:val="001F5D9D"/>
    <w:rsid w:val="0025640E"/>
    <w:rsid w:val="002C2308"/>
    <w:rsid w:val="002D6278"/>
    <w:rsid w:val="004C6221"/>
    <w:rsid w:val="0071312E"/>
    <w:rsid w:val="00794547"/>
    <w:rsid w:val="00A033FE"/>
    <w:rsid w:val="00BF7504"/>
    <w:rsid w:val="00F94B7B"/>
    <w:rsid w:val="00FB09F4"/>
    <w:rsid w:val="060B0F34"/>
    <w:rsid w:val="078B129E"/>
    <w:rsid w:val="0FE95654"/>
    <w:rsid w:val="164B2325"/>
    <w:rsid w:val="1ABB23D0"/>
    <w:rsid w:val="34200EDB"/>
    <w:rsid w:val="3CE304EE"/>
    <w:rsid w:val="4DC81118"/>
    <w:rsid w:val="4E0B3410"/>
    <w:rsid w:val="517936BA"/>
    <w:rsid w:val="546228DF"/>
    <w:rsid w:val="561C571A"/>
    <w:rsid w:val="57A62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A3908-28E9-45F9-B6F9-EF24954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100" w:afterAutospacing="1"/>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Normal (Web)"/>
    <w:basedOn w:val="a"/>
    <w:uiPriority w:val="99"/>
    <w:semiHidden/>
    <w:unhideWhenUsed/>
    <w:qFormat/>
    <w:pPr>
      <w:widowControl/>
    </w:pPr>
    <w:rPr>
      <w:rFonts w:ascii="宋体" w:hAnsi="宋体" w:cs="宋体"/>
      <w:kern w:val="0"/>
      <w:sz w:val="24"/>
      <w:szCs w:val="24"/>
    </w:rPr>
  </w:style>
  <w:style w:type="character" w:styleId="a5">
    <w:name w:val="Hyperlink"/>
    <w:basedOn w:val="a0"/>
    <w:uiPriority w:val="99"/>
    <w:semiHidden/>
    <w:unhideWhenUsed/>
    <w:qFormat/>
    <w:rPr>
      <w:color w:val="0000FF"/>
      <w:u w:val="single"/>
    </w:rPr>
  </w:style>
  <w:style w:type="paragraph" w:customStyle="1" w:styleId="Default">
    <w:name w:val="Default"/>
    <w:qFormat/>
    <w:pPr>
      <w:widowControl w:val="0"/>
      <w:autoSpaceDE w:val="0"/>
      <w:autoSpaceDN w:val="0"/>
      <w:adjustRightInd w:val="0"/>
    </w:pPr>
    <w:rPr>
      <w:rFonts w:ascii="仿宋3...." w:eastAsia="仿宋3...." w:cs="仿宋3...."/>
      <w:color w:val="000000"/>
      <w:sz w:val="24"/>
      <w:szCs w:val="24"/>
    </w:rPr>
  </w:style>
  <w:style w:type="character" w:customStyle="1" w:styleId="Char">
    <w:name w:val="日期 Char"/>
    <w:basedOn w:val="a0"/>
    <w:link w:val="a3"/>
    <w:uiPriority w:val="99"/>
    <w:semiHidden/>
    <w:qFormat/>
    <w:rPr>
      <w:rFonts w:ascii="Calibri" w:eastAsia="宋体" w:hAnsi="Calibri" w:cs="Times New Roman"/>
      <w:szCs w:val="21"/>
    </w:rPr>
  </w:style>
  <w:style w:type="paragraph" w:customStyle="1" w:styleId="a6">
    <w:name w:val="公文正文"/>
    <w:basedOn w:val="a"/>
    <w:qFormat/>
    <w:pPr>
      <w:adjustRightInd w:val="0"/>
      <w:snapToGrid w:val="0"/>
      <w:spacing w:before="0" w:beforeAutospacing="0" w:after="0" w:afterAutospacing="0" w:line="295" w:lineRule="auto"/>
      <w:ind w:firstLineChars="200" w:firstLine="200"/>
      <w:jc w:val="both"/>
    </w:pPr>
    <w:rPr>
      <w:rFonts w:ascii="仿宋_GB2312" w:hAnsi="宋体"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278</Words>
  <Characters>1587</Characters>
  <Application>Microsoft Office Word</Application>
  <DocSecurity>0</DocSecurity>
  <Lines>13</Lines>
  <Paragraphs>3</Paragraphs>
  <ScaleCrop>false</ScaleCrop>
  <Company>Microsoft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401-2</dc:creator>
  <cp:lastModifiedBy>刘琛</cp:lastModifiedBy>
  <cp:revision>5</cp:revision>
  <dcterms:created xsi:type="dcterms:W3CDTF">2020-03-04T15:50:00Z</dcterms:created>
  <dcterms:modified xsi:type="dcterms:W3CDTF">2021-10-25T07:20:00Z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9C1C136BFDD44E41B27D6FE99CD721A8</vt:lpwstr>
  </property>
</Properties>
</file>